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4" w:rsidRDefault="00C404EB" w:rsidP="00C4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43">
        <w:rPr>
          <w:rFonts w:ascii="Times New Roman" w:hAnsi="Times New Roman" w:cs="Times New Roman"/>
          <w:b/>
          <w:sz w:val="28"/>
          <w:szCs w:val="28"/>
        </w:rPr>
        <w:t>Отчет о развитии и результатах оценки регулирующего воздействия проектов муниципальных нормативн</w:t>
      </w:r>
      <w:r w:rsidR="00CE478D">
        <w:rPr>
          <w:rFonts w:ascii="Times New Roman" w:hAnsi="Times New Roman" w:cs="Times New Roman"/>
          <w:b/>
          <w:sz w:val="28"/>
          <w:szCs w:val="28"/>
        </w:rPr>
        <w:t>ых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«Город Архангельск»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,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F01">
        <w:rPr>
          <w:rFonts w:ascii="Times New Roman" w:hAnsi="Times New Roman" w:cs="Times New Roman"/>
          <w:b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</w:t>
      </w:r>
      <w:r w:rsidRPr="00F56C43">
        <w:rPr>
          <w:rFonts w:ascii="Times New Roman" w:hAnsi="Times New Roman" w:cs="Times New Roman"/>
          <w:b/>
          <w:sz w:val="28"/>
          <w:szCs w:val="28"/>
        </w:rPr>
        <w:t>за 201</w:t>
      </w:r>
      <w:r w:rsidR="00B8471F">
        <w:rPr>
          <w:rFonts w:ascii="Times New Roman" w:hAnsi="Times New Roman" w:cs="Times New Roman"/>
          <w:b/>
          <w:sz w:val="28"/>
          <w:szCs w:val="28"/>
        </w:rPr>
        <w:t>6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5"/>
        <w:gridCol w:w="2235"/>
        <w:gridCol w:w="126"/>
        <w:gridCol w:w="1595"/>
      </w:tblGrid>
      <w:tr w:rsidR="00BB26F8" w:rsidTr="00BB26F8">
        <w:tc>
          <w:tcPr>
            <w:tcW w:w="9571" w:type="dxa"/>
            <w:gridSpan w:val="4"/>
          </w:tcPr>
          <w:p w:rsidR="00863FD3" w:rsidRDefault="00BB26F8" w:rsidP="0057674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регулирующего воздействия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муниципальных нормативных правовых актов</w:t>
            </w:r>
            <w:proofErr w:type="gramEnd"/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E55BA4" w:rsidRDefault="003714AF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 xml:space="preserve">от 06.10.2003 </w:t>
            </w:r>
            <w:r w:rsidR="00BB26F8" w:rsidRPr="00790B11">
              <w:rPr>
                <w:rFonts w:ascii="Times New Roman" w:hAnsi="Times New Roman" w:cs="Times New Roman"/>
                <w:sz w:val="28"/>
                <w:szCs w:val="28"/>
              </w:rPr>
              <w:t xml:space="preserve">№ 131-ФЗ </w:t>
            </w:r>
            <w:r w:rsidR="00BB2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6F8" w:rsidRPr="00790B11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B2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BA4" w:rsidRDefault="00E55BA4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 </w:t>
            </w:r>
            <w:r w:rsidR="00BB26F8" w:rsidRPr="00790B11">
              <w:rPr>
                <w:rFonts w:ascii="Times New Roman" w:eastAsia="Calibri" w:hAnsi="Times New Roman" w:cs="Times New Roman"/>
                <w:sz w:val="28"/>
                <w:szCs w:val="28"/>
              </w:rPr>
              <w:t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573D2" w:rsidRPr="00E55BA4" w:rsidRDefault="00E55BA4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7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оценки</w:t>
            </w:r>
            <w:r w:rsidRPr="00790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регулирующего воздействия проектов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нормативных правовых актов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</w:t>
            </w:r>
            <w:r w:rsidRPr="00790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90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790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утвержденный </w:t>
            </w:r>
            <w:r w:rsidRPr="00E55B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Архангельской городской Думы от 18.02.2015 № 215</w:t>
            </w:r>
            <w:r w:rsidR="00D23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 изменениями)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E55B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863FD3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9ED">
              <w:rPr>
                <w:rFonts w:ascii="Times New Roman" w:hAnsi="Times New Roman" w:cs="Times New Roman"/>
                <w:b/>
                <w:sz w:val="28"/>
                <w:szCs w:val="28"/>
              </w:rPr>
              <w:t>. Предметная область оценки регулирующего воздействия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135AB8" w:rsidRDefault="00E55BA4" w:rsidP="00E55BA4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роекты 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нормативно правовых актов 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Архангельск», затрагивающих вопросы осуществления предпринимательской и инвестиционной деятельности</w:t>
            </w:r>
            <w:r w:rsidR="00C85F0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384BB2">
              <w:rPr>
                <w:rFonts w:ascii="Times New Roman" w:hAnsi="Times New Roman" w:cs="Times New Roman"/>
                <w:sz w:val="28"/>
                <w:szCs w:val="28"/>
              </w:rPr>
              <w:t>проекты правовых</w:t>
            </w:r>
            <w:r w:rsidR="00C85F01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384BB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85F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9ED" w:rsidRDefault="00E55BA4" w:rsidP="005272CB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ценка регулирующего воздействия 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 в отношении:</w:t>
            </w:r>
          </w:p>
          <w:p w:rsidR="00D2327A" w:rsidRPr="00D2327A" w:rsidRDefault="00D2327A" w:rsidP="00D2327A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27A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нормативных правовых актов Архангельской городской Думы, устанавливающих, изменяющих, приостанавливающих, отменяющих местные налоги и сборы;</w:t>
            </w:r>
          </w:p>
          <w:p w:rsidR="00BB26F8" w:rsidRPr="005272CB" w:rsidRDefault="00D2327A" w:rsidP="00D2327A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27A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нормативных правовых актов Архангельской городской Думы, регулирующих бюджетные правоотношения.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5F1A">
              <w:rPr>
                <w:rFonts w:ascii="Times New Roman" w:hAnsi="Times New Roman" w:cs="Times New Roman"/>
                <w:b/>
                <w:sz w:val="28"/>
                <w:szCs w:val="28"/>
              </w:rPr>
              <w:t>. Цель проведения оценки регулирующего воздействия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244E1A" w:rsidP="00244E1A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4E1A">
              <w:rPr>
                <w:rFonts w:ascii="Times New Roman" w:hAnsi="Times New Roman" w:cs="Times New Roman"/>
                <w:sz w:val="28"/>
                <w:szCs w:val="28"/>
              </w:rPr>
              <w:t>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4E1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городского бюджета.</w:t>
            </w:r>
          </w:p>
          <w:p w:rsidR="00846CC0" w:rsidRPr="00B573D2" w:rsidRDefault="00846CC0" w:rsidP="00244E1A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F1E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 п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</w:t>
            </w:r>
            <w:r w:rsidR="002E4F1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регулирующего воздействия 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F30499" w:rsidRDefault="002E4F1E" w:rsidP="005272CB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Разработчиками проекта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осуществляется: </w:t>
            </w:r>
          </w:p>
          <w:p w:rsidR="00F30499" w:rsidRDefault="00EC2E3E" w:rsidP="008661FC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раздела пояснительной записки, в котором содержится оценка социально-экономических, финансовых и иных последствий его принятия; </w:t>
            </w:r>
          </w:p>
          <w:p w:rsidR="00F30499" w:rsidRDefault="00EC2E3E" w:rsidP="008661FC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консультаций по проекту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равового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F1E" w:rsidRDefault="00EC2E3E" w:rsidP="008661FC">
            <w:pPr>
              <w:tabs>
                <w:tab w:val="left" w:pos="851"/>
              </w:tabs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справки о результатах публичных консультаций по проекту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BDB" w:rsidRPr="00682AE6" w:rsidRDefault="00EC2E3E" w:rsidP="003714AF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осуществляется подготовка заключения об оценке регулирующего воздействия проекта правового акта.</w:t>
            </w:r>
          </w:p>
        </w:tc>
      </w:tr>
      <w:tr w:rsidR="002C18BB" w:rsidTr="00BB26F8">
        <w:tc>
          <w:tcPr>
            <w:tcW w:w="9571" w:type="dxa"/>
            <w:gridSpan w:val="4"/>
          </w:tcPr>
          <w:p w:rsidR="002C18BB" w:rsidRPr="002C18BB" w:rsidRDefault="00DE3B21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5045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выводов, содержащихся </w:t>
            </w:r>
            <w:r w:rsidR="008A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заключениях об оценке регулирующего воздействия</w:t>
            </w:r>
          </w:p>
        </w:tc>
      </w:tr>
      <w:tr w:rsidR="002C18BB" w:rsidTr="00BB26F8">
        <w:tc>
          <w:tcPr>
            <w:tcW w:w="9571" w:type="dxa"/>
            <w:gridSpan w:val="4"/>
          </w:tcPr>
          <w:p w:rsidR="002C18BB" w:rsidRDefault="008A2120" w:rsidP="005272CB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</w:t>
            </w:r>
          </w:p>
          <w:p w:rsidR="008A2120" w:rsidRDefault="008A2120" w:rsidP="005272CB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устранения разногласий между разработчиком и уполномоченным органом могут создаваться комиссии п</w:t>
            </w:r>
            <w:r w:rsidR="00DE3B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руководством заместителя Главы муниципального образования «Город Архангельск» по вопросам экономического развития и финансам.</w:t>
            </w:r>
          </w:p>
          <w:p w:rsidR="008A2120" w:rsidRDefault="008A2120" w:rsidP="005272CB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внесения концептуальных изменений в проект правового акта разработчик повторно проводит публичные консультации.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заключения.</w:t>
            </w:r>
          </w:p>
          <w:p w:rsidR="008661FC" w:rsidRDefault="008661FC" w:rsidP="005272CB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DE3B21" w:rsidP="00DE3B2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Практический опыт </w:t>
            </w:r>
            <w:proofErr w:type="gramStart"/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оценки регулирующего воздействия проектов </w:t>
            </w:r>
            <w:r w:rsidR="0025098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  <w:proofErr w:type="gramEnd"/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13BC3" w:rsidTr="00F052D4">
        <w:trPr>
          <w:trHeight w:val="138"/>
        </w:trPr>
        <w:tc>
          <w:tcPr>
            <w:tcW w:w="7976" w:type="dxa"/>
            <w:gridSpan w:val="3"/>
          </w:tcPr>
          <w:p w:rsidR="00113BC3" w:rsidRPr="00113BC3" w:rsidRDefault="00113BC3" w:rsidP="00F052D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3BC3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оценки регулирующего воздействия за 201</w:t>
            </w:r>
            <w:r w:rsidR="00F052D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113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</w:tcPr>
          <w:p w:rsidR="00113BC3" w:rsidRPr="00576746" w:rsidRDefault="00113BC3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746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F052D4" w:rsidTr="00F052D4">
        <w:trPr>
          <w:trHeight w:val="137"/>
        </w:trPr>
        <w:tc>
          <w:tcPr>
            <w:tcW w:w="7976" w:type="dxa"/>
            <w:gridSpan w:val="3"/>
          </w:tcPr>
          <w:p w:rsidR="00F052D4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1595" w:type="dxa"/>
          </w:tcPr>
          <w:p w:rsidR="00F052D4" w:rsidRDefault="00F052D4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052D4" w:rsidTr="00F052D4">
        <w:trPr>
          <w:trHeight w:val="137"/>
        </w:trPr>
        <w:tc>
          <w:tcPr>
            <w:tcW w:w="7976" w:type="dxa"/>
            <w:gridSpan w:val="3"/>
          </w:tcPr>
          <w:p w:rsidR="00F052D4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содержащих замечания к разработчику</w:t>
            </w:r>
          </w:p>
        </w:tc>
        <w:tc>
          <w:tcPr>
            <w:tcW w:w="1595" w:type="dxa"/>
          </w:tcPr>
          <w:p w:rsidR="00F052D4" w:rsidRDefault="00F052D4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</w:t>
            </w:r>
          </w:p>
        </w:tc>
      </w:tr>
      <w:tr w:rsidR="00F052D4" w:rsidTr="00F052D4">
        <w:trPr>
          <w:trHeight w:val="137"/>
        </w:trPr>
        <w:tc>
          <w:tcPr>
            <w:tcW w:w="7976" w:type="dxa"/>
            <w:gridSpan w:val="3"/>
          </w:tcPr>
          <w:p w:rsidR="00F052D4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содержащих замечания к разработчику для их устранения</w:t>
            </w:r>
          </w:p>
        </w:tc>
        <w:tc>
          <w:tcPr>
            <w:tcW w:w="1595" w:type="dxa"/>
          </w:tcPr>
          <w:p w:rsidR="00F052D4" w:rsidRDefault="00F052D4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52D4" w:rsidRDefault="00F052D4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C0" w:rsidRDefault="00846CC0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C0" w:rsidRDefault="00846CC0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C0" w:rsidRDefault="00846CC0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F8" w:rsidTr="00BB26F8">
        <w:tc>
          <w:tcPr>
            <w:tcW w:w="9571" w:type="dxa"/>
            <w:gridSpan w:val="4"/>
          </w:tcPr>
          <w:p w:rsidR="00863FD3" w:rsidRDefault="00BF3FA4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="005F5045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правовых актов, прошедших оценку </w:t>
            </w:r>
            <w:r w:rsidR="00B73BD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>егулирующего воздействия</w:t>
            </w:r>
            <w:r w:rsidR="00D66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2015 году</w:t>
            </w:r>
          </w:p>
        </w:tc>
      </w:tr>
      <w:tr w:rsidR="00113BC3" w:rsidTr="00F052D4">
        <w:tc>
          <w:tcPr>
            <w:tcW w:w="5891" w:type="dxa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57" w:type="dxa"/>
          </w:tcPr>
          <w:p w:rsidR="00113BC3" w:rsidRDefault="005F5045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правового акта</w:t>
            </w:r>
          </w:p>
        </w:tc>
        <w:tc>
          <w:tcPr>
            <w:tcW w:w="1723" w:type="dxa"/>
            <w:gridSpan w:val="2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113BC3" w:rsidTr="00F052D4">
        <w:tc>
          <w:tcPr>
            <w:tcW w:w="5891" w:type="dxa"/>
          </w:tcPr>
          <w:p w:rsidR="00113BC3" w:rsidRDefault="00302086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6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086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08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в 2016 году субсидий субъектам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 w:rsidR="00113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3F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1723" w:type="dxa"/>
            <w:gridSpan w:val="2"/>
          </w:tcPr>
          <w:p w:rsidR="00113BC3" w:rsidRDefault="00113BC3" w:rsidP="0076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BC3" w:rsidTr="00F052D4">
        <w:tc>
          <w:tcPr>
            <w:tcW w:w="5891" w:type="dxa"/>
          </w:tcPr>
          <w:p w:rsidR="00113BC3" w:rsidRDefault="00AD4664" w:rsidP="00AD4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664">
              <w:rPr>
                <w:rFonts w:ascii="Times New Roman" w:hAnsi="Times New Roman" w:cs="Times New Roman"/>
                <w:sz w:val="24"/>
                <w:szCs w:val="24"/>
              </w:rPr>
              <w:t>роект решения Архангельской городской Думы «О внесении изменений и дополнений в Положение об арендной плате за использование земельных участков находящихся в собственности муниципального образования «Город Архангельск»</w:t>
            </w:r>
          </w:p>
        </w:tc>
        <w:tc>
          <w:tcPr>
            <w:tcW w:w="1957" w:type="dxa"/>
          </w:tcPr>
          <w:p w:rsidR="00113BC3" w:rsidRDefault="00AD4664" w:rsidP="00AD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  <w:r w:rsidRPr="00D1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gridSpan w:val="2"/>
          </w:tcPr>
          <w:p w:rsidR="00113BC3" w:rsidRDefault="00AD4664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BC3" w:rsidTr="00F052D4">
        <w:tc>
          <w:tcPr>
            <w:tcW w:w="5891" w:type="dxa"/>
          </w:tcPr>
          <w:p w:rsidR="00113BC3" w:rsidRDefault="008766AB" w:rsidP="0087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AB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Архангельск»</w:t>
            </w:r>
            <w:r w:rsidRPr="008766A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предоставления в 2016 году субсидий юридическим лицам и индивидуальным предпринимателям на возмещение части затрат, связанных с доставкой товаров, реализуемых в населённых пунктах, расположенных на островных территориях в муниципальном образовании «Город Архангельск»</w:t>
            </w:r>
          </w:p>
        </w:tc>
        <w:tc>
          <w:tcPr>
            <w:tcW w:w="1957" w:type="dxa"/>
          </w:tcPr>
          <w:p w:rsidR="00113BC3" w:rsidRDefault="008766AB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торговле и услугам населению</w:t>
            </w:r>
          </w:p>
        </w:tc>
        <w:tc>
          <w:tcPr>
            <w:tcW w:w="1723" w:type="dxa"/>
            <w:gridSpan w:val="2"/>
          </w:tcPr>
          <w:p w:rsidR="00113BC3" w:rsidRDefault="007E5EC4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3BC3" w:rsidTr="00F052D4">
        <w:tc>
          <w:tcPr>
            <w:tcW w:w="5891" w:type="dxa"/>
          </w:tcPr>
          <w:p w:rsidR="00113BC3" w:rsidRDefault="005C2F4E" w:rsidP="00D7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4E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муниципального образования </w:t>
            </w:r>
            <w:r w:rsidR="00D71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F4E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D71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F4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в 2016 году из городского бюджета субсидий на возмещение затрат организаций, связанных с оказанием ими услуг по уличному освещению</w:t>
            </w:r>
            <w:r w:rsidR="00D71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113BC3" w:rsidRDefault="00D71159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723" w:type="dxa"/>
            <w:gridSpan w:val="2"/>
          </w:tcPr>
          <w:p w:rsidR="00113BC3" w:rsidRDefault="00D71159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6AB" w:rsidTr="00F052D4">
        <w:tc>
          <w:tcPr>
            <w:tcW w:w="5891" w:type="dxa"/>
          </w:tcPr>
          <w:p w:rsidR="008766AB" w:rsidRPr="00CC0D8B" w:rsidRDefault="002F69B4" w:rsidP="00B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муниципального образования «Город Архангельск» «Об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 Архангельск»</w:t>
            </w:r>
          </w:p>
        </w:tc>
        <w:tc>
          <w:tcPr>
            <w:tcW w:w="1957" w:type="dxa"/>
          </w:tcPr>
          <w:p w:rsidR="008766AB" w:rsidRDefault="002F69B4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723" w:type="dxa"/>
            <w:gridSpan w:val="2"/>
          </w:tcPr>
          <w:p w:rsidR="008766AB" w:rsidRDefault="002F69B4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66AB" w:rsidTr="00F052D4">
        <w:tc>
          <w:tcPr>
            <w:tcW w:w="5891" w:type="dxa"/>
          </w:tcPr>
          <w:p w:rsidR="008766AB" w:rsidRPr="00CC0D8B" w:rsidRDefault="00A95ED1" w:rsidP="00B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D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муниципального образования «Город Архангельск» «Об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по маршрутам регулярных автобусных перевозо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 островах Кего и Бревенник»</w:t>
            </w:r>
          </w:p>
        </w:tc>
        <w:tc>
          <w:tcPr>
            <w:tcW w:w="1957" w:type="dxa"/>
          </w:tcPr>
          <w:p w:rsidR="008766AB" w:rsidRDefault="00A95ED1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D1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723" w:type="dxa"/>
            <w:gridSpan w:val="2"/>
          </w:tcPr>
          <w:p w:rsidR="008766AB" w:rsidRDefault="00A95ED1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66AB" w:rsidTr="00F052D4">
        <w:tc>
          <w:tcPr>
            <w:tcW w:w="5891" w:type="dxa"/>
          </w:tcPr>
          <w:p w:rsidR="008766AB" w:rsidRPr="00CC0D8B" w:rsidRDefault="00895680" w:rsidP="00895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68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9568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в 2016 году бесплатного проезда гражданам, достигшим возраста 70 лет и старше, и сопровождающим их лицам в автомобильном транспорте общего пользования по маршрутам регулярных автобусных перевозок на территории муниципального образования «Город Архангельск»</w:t>
            </w:r>
          </w:p>
        </w:tc>
        <w:tc>
          <w:tcPr>
            <w:tcW w:w="1957" w:type="dxa"/>
          </w:tcPr>
          <w:p w:rsidR="008766AB" w:rsidRDefault="001C090C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городского </w:t>
            </w:r>
            <w:r w:rsidRPr="001C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723" w:type="dxa"/>
            <w:gridSpan w:val="2"/>
          </w:tcPr>
          <w:p w:rsidR="008766AB" w:rsidRDefault="001C090C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766AB" w:rsidTr="00F052D4">
        <w:tc>
          <w:tcPr>
            <w:tcW w:w="5891" w:type="dxa"/>
          </w:tcPr>
          <w:p w:rsidR="008766AB" w:rsidRPr="00CC0D8B" w:rsidRDefault="001C090C" w:rsidP="001C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постановления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090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090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обеспечения в 2016 году равной доступности услуг общественного транспорта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090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090C">
              <w:rPr>
                <w:rFonts w:ascii="Times New Roman" w:hAnsi="Times New Roman" w:cs="Times New Roman"/>
                <w:sz w:val="24"/>
                <w:szCs w:val="24"/>
              </w:rPr>
              <w:t xml:space="preserve"> для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8766AB" w:rsidRDefault="001C090C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0C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723" w:type="dxa"/>
            <w:gridSpan w:val="2"/>
          </w:tcPr>
          <w:p w:rsidR="008766AB" w:rsidRPr="001C090C" w:rsidRDefault="001C090C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</w:tr>
      <w:tr w:rsidR="008766AB" w:rsidTr="00F052D4">
        <w:tc>
          <w:tcPr>
            <w:tcW w:w="5891" w:type="dxa"/>
          </w:tcPr>
          <w:p w:rsidR="008766AB" w:rsidRPr="00CC0D8B" w:rsidRDefault="00287FF7" w:rsidP="002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7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7FF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7FF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Документа планирования регулярных автобусных перевозок по муниципальным маршрутам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7FF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FF7"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8766AB" w:rsidRDefault="00287FF7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7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723" w:type="dxa"/>
            <w:gridSpan w:val="2"/>
          </w:tcPr>
          <w:p w:rsidR="008766AB" w:rsidRDefault="00287FF7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6AB" w:rsidTr="00F052D4">
        <w:tc>
          <w:tcPr>
            <w:tcW w:w="5891" w:type="dxa"/>
          </w:tcPr>
          <w:p w:rsidR="008766AB" w:rsidRPr="00CC0D8B" w:rsidRDefault="003A0D1E" w:rsidP="003A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1E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D1E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D1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D1E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8766AB" w:rsidRDefault="00ED7B61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1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723" w:type="dxa"/>
            <w:gridSpan w:val="2"/>
          </w:tcPr>
          <w:p w:rsidR="008766AB" w:rsidRDefault="00ED7B61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6AB" w:rsidTr="00F052D4">
        <w:tc>
          <w:tcPr>
            <w:tcW w:w="5891" w:type="dxa"/>
          </w:tcPr>
          <w:p w:rsidR="008766AB" w:rsidRPr="00CC0D8B" w:rsidRDefault="00ED7B61" w:rsidP="00ED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B6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7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B6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электронном проездном билете для оплаты проезда в городском пассажирском транспорте общего пользования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B6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8766AB" w:rsidRDefault="00ED7B61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61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723" w:type="dxa"/>
            <w:gridSpan w:val="2"/>
          </w:tcPr>
          <w:p w:rsidR="008766AB" w:rsidRDefault="00ED7B61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B61" w:rsidTr="00F052D4">
        <w:tc>
          <w:tcPr>
            <w:tcW w:w="5891" w:type="dxa"/>
          </w:tcPr>
          <w:p w:rsidR="00ED7B61" w:rsidRPr="00CC0D8B" w:rsidRDefault="00ED7B61" w:rsidP="00ED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B61">
              <w:rPr>
                <w:rFonts w:ascii="Times New Roman" w:hAnsi="Times New Roman" w:cs="Times New Roman"/>
                <w:sz w:val="24"/>
                <w:szCs w:val="24"/>
              </w:rPr>
              <w:t xml:space="preserve">роект решения Архангельской городской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B6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установки и эксплуатации рекламных конструкций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B6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ED7B61" w:rsidRDefault="00ED7B61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</w:t>
            </w:r>
          </w:p>
        </w:tc>
        <w:tc>
          <w:tcPr>
            <w:tcW w:w="1723" w:type="dxa"/>
            <w:gridSpan w:val="2"/>
          </w:tcPr>
          <w:p w:rsidR="00ED7B61" w:rsidRDefault="00ED7B61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B61" w:rsidTr="00F052D4">
        <w:tc>
          <w:tcPr>
            <w:tcW w:w="5891" w:type="dxa"/>
          </w:tcPr>
          <w:p w:rsidR="00ED7B61" w:rsidRPr="00CC0D8B" w:rsidRDefault="00E12FCD" w:rsidP="00E1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D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Архангельской городской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2FC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методики расчета начальной годовой стоимости по договору на установку и эксплуатацию рекламных конструкций на объектах находящихся в муниципальной собственности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2FC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ED7B61" w:rsidRDefault="00E12FCD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D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</w:t>
            </w:r>
          </w:p>
        </w:tc>
        <w:tc>
          <w:tcPr>
            <w:tcW w:w="1723" w:type="dxa"/>
            <w:gridSpan w:val="2"/>
          </w:tcPr>
          <w:p w:rsidR="00ED7B61" w:rsidRDefault="00E12FCD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BF3FA4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4083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в сети Интернет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113BC3" w:rsidRDefault="00DE3B21" w:rsidP="005272CB">
            <w:pPr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BD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>-портал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воздействия»: </w:t>
            </w:r>
            <w:hyperlink r:id="rId5" w:history="1">
              <w:r w:rsidR="00113BC3" w:rsidRPr="00CC6C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http://www.arhcity.ru/?page=1585/0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проекты правовых актов, извещения о проведении публичных консультаций по проектам правовых актов, справки о результатах публичных консультаций, заключения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оценке регулирующего воздействия проектов правовых актов</w:t>
            </w:r>
            <w:r w:rsidR="006A4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B26F8" w:rsidRPr="00113BC3" w:rsidRDefault="00113BC3" w:rsidP="006A436F">
            <w:pPr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</w:t>
            </w:r>
            <w:r w:rsidR="00C540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рекомендации, связанные с оценкой регулирующего воздействия проектов </w:t>
            </w:r>
            <w:r w:rsidR="00C54083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 размещены в данном специализированном разделе.</w:t>
            </w:r>
          </w:p>
        </w:tc>
      </w:tr>
      <w:tr w:rsidR="00960853" w:rsidTr="00BB26F8">
        <w:tc>
          <w:tcPr>
            <w:tcW w:w="9571" w:type="dxa"/>
            <w:gridSpan w:val="4"/>
          </w:tcPr>
          <w:p w:rsidR="00960853" w:rsidRDefault="00BF3FA4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>. Наличие методических рекомендаций</w:t>
            </w:r>
          </w:p>
        </w:tc>
      </w:tr>
      <w:tr w:rsidR="00960853" w:rsidTr="00BB26F8">
        <w:tc>
          <w:tcPr>
            <w:tcW w:w="9571" w:type="dxa"/>
            <w:gridSpan w:val="4"/>
          </w:tcPr>
          <w:p w:rsidR="00960853" w:rsidRPr="00E069ED" w:rsidRDefault="00960853" w:rsidP="00D95EB9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Процедура оценки регулирующего воздействия проводится в соответствии с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етодическими рекомендациями по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 оценки</w:t>
            </w:r>
            <w:r w:rsidRPr="00B334D7">
              <w:t xml:space="preserve"> 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актов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26C78" w:rsidTr="00BB26F8">
        <w:tc>
          <w:tcPr>
            <w:tcW w:w="9571" w:type="dxa"/>
            <w:gridSpan w:val="4"/>
          </w:tcPr>
          <w:p w:rsidR="00726C78" w:rsidRPr="00726C78" w:rsidRDefault="00726C78" w:rsidP="00BF3FA4">
            <w:pPr>
              <w:tabs>
                <w:tab w:val="left" w:pos="1134"/>
              </w:tabs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F3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72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Обучение специалистов Администрации муниципального образования «Город Архангельск»</w:t>
            </w:r>
          </w:p>
        </w:tc>
      </w:tr>
      <w:tr w:rsidR="00726C78" w:rsidTr="00BB26F8">
        <w:tc>
          <w:tcPr>
            <w:tcW w:w="9571" w:type="dxa"/>
            <w:gridSpan w:val="4"/>
          </w:tcPr>
          <w:p w:rsidR="00726C78" w:rsidRDefault="00F765B2" w:rsidP="005C1818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Специалисты Администрации муниципального образования «Город Архангельск»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прошли </w:t>
            </w:r>
            <w:proofErr w:type="gramStart"/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по теме</w:t>
            </w:r>
            <w:proofErr w:type="gramEnd"/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«Оценка регулирующего воздействия (экспертиза) для специалистов исполнительных органов государственной власти Архангельской области, специалистов органов местного самоуправления муниципальных образований Архангельской области»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проводимое консультантами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федерально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государственно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автономно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учреждени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164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высшего профессионального образования Национальный исследовательский университет «Высшая школа экономики».</w:t>
            </w:r>
          </w:p>
          <w:p w:rsidR="006A436F" w:rsidRDefault="00164A8B" w:rsidP="006A436F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мая 2015 года приня</w:t>
            </w:r>
            <w:r w:rsidR="006A4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участие в Межрегиональной конференции «Развитие механизмов оценки регулирующего воздействия «Умное регулирование»</w:t>
            </w:r>
            <w:r w:rsidR="00E11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64A8B" w:rsidRDefault="00164A8B" w:rsidP="006A436F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октября 2015 года </w:t>
            </w:r>
            <w:r w:rsidR="006A4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совещании по вопросам внедрения оценки регулирующего воздействия на муниципальном уровне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проводимом Министерством экономического развития и конкурентной политики Архангельской области.</w:t>
            </w:r>
          </w:p>
          <w:p w:rsidR="00F94E2F" w:rsidRDefault="00F94E2F" w:rsidP="006A436F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обучение не проводилось.</w:t>
            </w:r>
          </w:p>
        </w:tc>
      </w:tr>
    </w:tbl>
    <w:p w:rsidR="00547A60" w:rsidRDefault="00547A60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F7" w:rsidRDefault="004D0CF7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F7" w:rsidRDefault="004D0CF7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64" w:rsidRPr="00420A64" w:rsidRDefault="00420A64" w:rsidP="00420A64">
      <w:pPr>
        <w:spacing w:before="60"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0A64">
        <w:rPr>
          <w:rFonts w:ascii="Times New Roman" w:hAnsi="Times New Roman" w:cs="Times New Roman"/>
          <w:sz w:val="28"/>
          <w:szCs w:val="28"/>
        </w:rPr>
        <w:t xml:space="preserve">И.о. директора департамента </w:t>
      </w:r>
    </w:p>
    <w:p w:rsidR="004D0CF7" w:rsidRPr="00273DA1" w:rsidRDefault="00420A64" w:rsidP="00420A64">
      <w:pPr>
        <w:spacing w:before="60"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0A64"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64">
        <w:rPr>
          <w:rFonts w:ascii="Times New Roman" w:hAnsi="Times New Roman" w:cs="Times New Roman"/>
          <w:sz w:val="28"/>
          <w:szCs w:val="28"/>
        </w:rPr>
        <w:t>А.В. Зайцев</w:t>
      </w:r>
    </w:p>
    <w:sectPr w:rsidR="004D0CF7" w:rsidRPr="0027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B"/>
    <w:rsid w:val="000010CD"/>
    <w:rsid w:val="00045112"/>
    <w:rsid w:val="000A4BC8"/>
    <w:rsid w:val="000F6592"/>
    <w:rsid w:val="00113BC3"/>
    <w:rsid w:val="00114B32"/>
    <w:rsid w:val="00135AB8"/>
    <w:rsid w:val="00164A8B"/>
    <w:rsid w:val="00195929"/>
    <w:rsid w:val="001A4479"/>
    <w:rsid w:val="001C090C"/>
    <w:rsid w:val="00237064"/>
    <w:rsid w:val="00244E1A"/>
    <w:rsid w:val="00250988"/>
    <w:rsid w:val="00273DA1"/>
    <w:rsid w:val="00287FF7"/>
    <w:rsid w:val="002C18BB"/>
    <w:rsid w:val="002E4F1E"/>
    <w:rsid w:val="002F69B4"/>
    <w:rsid w:val="00302086"/>
    <w:rsid w:val="003714AF"/>
    <w:rsid w:val="0037245A"/>
    <w:rsid w:val="00374352"/>
    <w:rsid w:val="00384BB2"/>
    <w:rsid w:val="003A0D1E"/>
    <w:rsid w:val="00420A64"/>
    <w:rsid w:val="00427594"/>
    <w:rsid w:val="004D0CF7"/>
    <w:rsid w:val="004F27E6"/>
    <w:rsid w:val="005272CB"/>
    <w:rsid w:val="00547A60"/>
    <w:rsid w:val="00576746"/>
    <w:rsid w:val="005C2F4E"/>
    <w:rsid w:val="005F5045"/>
    <w:rsid w:val="00624D18"/>
    <w:rsid w:val="00661EBB"/>
    <w:rsid w:val="00682AE6"/>
    <w:rsid w:val="006968D6"/>
    <w:rsid w:val="006A42CF"/>
    <w:rsid w:val="006A436F"/>
    <w:rsid w:val="00726C78"/>
    <w:rsid w:val="007649DB"/>
    <w:rsid w:val="00790B11"/>
    <w:rsid w:val="007E5EC4"/>
    <w:rsid w:val="00824CD7"/>
    <w:rsid w:val="00846CC0"/>
    <w:rsid w:val="00863FD3"/>
    <w:rsid w:val="008661FC"/>
    <w:rsid w:val="008766AB"/>
    <w:rsid w:val="00895680"/>
    <w:rsid w:val="008A2120"/>
    <w:rsid w:val="00960853"/>
    <w:rsid w:val="00A95ED1"/>
    <w:rsid w:val="00AD3C71"/>
    <w:rsid w:val="00AD4664"/>
    <w:rsid w:val="00B334D7"/>
    <w:rsid w:val="00B573D2"/>
    <w:rsid w:val="00B73BDB"/>
    <w:rsid w:val="00B8471F"/>
    <w:rsid w:val="00BB26F8"/>
    <w:rsid w:val="00BD20F5"/>
    <w:rsid w:val="00BF3FA4"/>
    <w:rsid w:val="00C404EB"/>
    <w:rsid w:val="00C54083"/>
    <w:rsid w:val="00C85F01"/>
    <w:rsid w:val="00CC0D8B"/>
    <w:rsid w:val="00CC4CD0"/>
    <w:rsid w:val="00CE478D"/>
    <w:rsid w:val="00D1623F"/>
    <w:rsid w:val="00D17D25"/>
    <w:rsid w:val="00D2327A"/>
    <w:rsid w:val="00D66FB7"/>
    <w:rsid w:val="00D71159"/>
    <w:rsid w:val="00D95EB9"/>
    <w:rsid w:val="00DE3B21"/>
    <w:rsid w:val="00E0302E"/>
    <w:rsid w:val="00E069ED"/>
    <w:rsid w:val="00E11ECC"/>
    <w:rsid w:val="00E12FCD"/>
    <w:rsid w:val="00E33B05"/>
    <w:rsid w:val="00E55BA4"/>
    <w:rsid w:val="00EC2E3E"/>
    <w:rsid w:val="00ED7B61"/>
    <w:rsid w:val="00EF0784"/>
    <w:rsid w:val="00EF5F1A"/>
    <w:rsid w:val="00F052D4"/>
    <w:rsid w:val="00F30499"/>
    <w:rsid w:val="00F56C43"/>
    <w:rsid w:val="00F765B2"/>
    <w:rsid w:val="00F94E2F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/?page=158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58</cp:revision>
  <cp:lastPrinted>2017-01-13T06:42:00Z</cp:lastPrinted>
  <dcterms:created xsi:type="dcterms:W3CDTF">2015-12-30T06:38:00Z</dcterms:created>
  <dcterms:modified xsi:type="dcterms:W3CDTF">2017-01-13T06:42:00Z</dcterms:modified>
</cp:coreProperties>
</file>